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DA" w:rsidRPr="008663AE" w:rsidRDefault="00CE65DF" w:rsidP="008663AE">
      <w:pPr>
        <w:spacing w:after="0"/>
        <w:rPr>
          <w:b/>
        </w:rPr>
      </w:pPr>
      <w:proofErr w:type="spellStart"/>
      <w:r w:rsidRPr="00CE65DF">
        <w:rPr>
          <w:b/>
        </w:rPr>
        <w:t>CellAssembly</w:t>
      </w:r>
      <w:proofErr w:type="spellEnd"/>
      <w:r w:rsidRPr="00CE65DF">
        <w:rPr>
          <w:b/>
        </w:rPr>
        <w:t xml:space="preserve"> </w:t>
      </w:r>
      <w:r>
        <w:rPr>
          <w:b/>
        </w:rPr>
        <w:t xml:space="preserve">- Self-assembled biomimetic wood-based </w:t>
      </w:r>
      <w:proofErr w:type="spellStart"/>
      <w:r>
        <w:rPr>
          <w:b/>
        </w:rPr>
        <w:t>n</w:t>
      </w:r>
      <w:r w:rsidRPr="00CE65DF">
        <w:rPr>
          <w:b/>
        </w:rPr>
        <w:t>anocomposite</w:t>
      </w:r>
      <w:r>
        <w:rPr>
          <w:b/>
        </w:rPr>
        <w:t>s</w:t>
      </w:r>
      <w:proofErr w:type="spellEnd"/>
    </w:p>
    <w:p w:rsidR="008663AE" w:rsidRDefault="008663AE" w:rsidP="008663AE">
      <w:pPr>
        <w:spacing w:after="0"/>
      </w:pPr>
    </w:p>
    <w:p w:rsidR="0040657B" w:rsidRDefault="0040657B" w:rsidP="008663AE">
      <w:pPr>
        <w:spacing w:after="0"/>
      </w:pPr>
    </w:p>
    <w:p w:rsidR="008663AE" w:rsidRDefault="008663AE" w:rsidP="008663AE">
      <w:pPr>
        <w:spacing w:after="0"/>
      </w:pPr>
    </w:p>
    <w:p w:rsidR="00FD0A1C" w:rsidRDefault="00FD0A1C" w:rsidP="00FD0A1C">
      <w:pPr>
        <w:spacing w:after="0"/>
      </w:pPr>
      <w:r>
        <w:t>Project coordinator:</w:t>
      </w:r>
    </w:p>
    <w:p w:rsidR="00FD0A1C" w:rsidRPr="00AC007E" w:rsidRDefault="000012A5" w:rsidP="00FD0A1C">
      <w:pPr>
        <w:spacing w:after="0"/>
      </w:pPr>
      <w:r w:rsidRPr="00AC007E">
        <w:t xml:space="preserve">Professor </w:t>
      </w:r>
      <w:r w:rsidR="00CE65DF" w:rsidRPr="00AC007E">
        <w:t>Olli Ikkala</w:t>
      </w:r>
    </w:p>
    <w:p w:rsidR="00FD0A1C" w:rsidRDefault="00CE65DF" w:rsidP="00FD0A1C">
      <w:pPr>
        <w:spacing w:after="0"/>
      </w:pPr>
      <w:r w:rsidRPr="00CE65DF">
        <w:t>Aalto University, Department of Applied Physics, Molecular Materials</w:t>
      </w:r>
    </w:p>
    <w:p w:rsidR="00FD0A1C" w:rsidRPr="00FD0A1C" w:rsidRDefault="00CE65DF" w:rsidP="00FD0A1C">
      <w:pPr>
        <w:spacing w:after="0"/>
      </w:pPr>
      <w:proofErr w:type="spellStart"/>
      <w:r w:rsidRPr="00CE65DF">
        <w:t>Puumiehenkuja</w:t>
      </w:r>
      <w:proofErr w:type="spellEnd"/>
      <w:r w:rsidRPr="00CE65DF">
        <w:t xml:space="preserve"> 2</w:t>
      </w:r>
      <w:r w:rsidR="00FD0A1C" w:rsidRPr="00FD0A1C">
        <w:t xml:space="preserve">, </w:t>
      </w:r>
      <w:r>
        <w:t>FI</w:t>
      </w:r>
      <w:r w:rsidR="00FD0A1C" w:rsidRPr="00FD0A1C">
        <w:t>-</w:t>
      </w:r>
      <w:r w:rsidRPr="00CE65DF">
        <w:t>02150 Espoo</w:t>
      </w:r>
      <w:r w:rsidR="00FD0A1C" w:rsidRPr="00FD0A1C">
        <w:t xml:space="preserve">, </w:t>
      </w:r>
      <w:r>
        <w:t>Finland</w:t>
      </w:r>
      <w:r w:rsidR="00FD0A1C" w:rsidRPr="00FD0A1C">
        <w:t>.</w:t>
      </w:r>
    </w:p>
    <w:p w:rsidR="008663AE" w:rsidRDefault="00FD0A1C" w:rsidP="00FD0A1C">
      <w:pPr>
        <w:spacing w:after="0"/>
      </w:pPr>
      <w:r>
        <w:t xml:space="preserve">Telephone: </w:t>
      </w:r>
      <w:r w:rsidR="00CE65DF">
        <w:t>+358-9-470</w:t>
      </w:r>
      <w:r w:rsidR="00CE65DF" w:rsidRPr="00CE65DF">
        <w:t>23153</w:t>
      </w:r>
      <w:r>
        <w:t xml:space="preserve">, E-mail: </w:t>
      </w:r>
      <w:r w:rsidR="00CE65DF">
        <w:t>o</w:t>
      </w:r>
      <w:r w:rsidR="00CE65DF" w:rsidRPr="00CE65DF">
        <w:t>lli.ikkala@aalto.fi</w:t>
      </w:r>
    </w:p>
    <w:p w:rsidR="008663AE" w:rsidRDefault="008663AE" w:rsidP="008663AE">
      <w:pPr>
        <w:spacing w:after="0"/>
      </w:pPr>
    </w:p>
    <w:p w:rsidR="008663AE" w:rsidRDefault="00FD0A1C" w:rsidP="008663AE">
      <w:pPr>
        <w:spacing w:after="0"/>
      </w:pPr>
      <w:r>
        <w:t>Project partners:</w:t>
      </w:r>
    </w:p>
    <w:p w:rsidR="00085317" w:rsidRDefault="00085317" w:rsidP="006B2492">
      <w:pPr>
        <w:spacing w:after="0"/>
      </w:pPr>
      <w:r w:rsidRPr="00CE65DF">
        <w:t>Aalto University, Department of Applied Physics</w:t>
      </w:r>
      <w:r>
        <w:t xml:space="preserve"> (FI)</w:t>
      </w:r>
      <w:bookmarkStart w:id="0" w:name="_GoBack"/>
      <w:bookmarkEnd w:id="0"/>
    </w:p>
    <w:p w:rsidR="006B2492" w:rsidRDefault="006B2492" w:rsidP="006B2492">
      <w:pPr>
        <w:spacing w:after="0"/>
      </w:pPr>
      <w:r w:rsidRPr="00CE65DF">
        <w:t>DWI at RWTH Aachen University</w:t>
      </w:r>
      <w:r w:rsidR="00AC007E">
        <w:t xml:space="preserve"> </w:t>
      </w:r>
      <w:r>
        <w:t>(DE)</w:t>
      </w:r>
    </w:p>
    <w:p w:rsidR="0040657B" w:rsidRDefault="00FD2F70" w:rsidP="00EF00DD">
      <w:pPr>
        <w:spacing w:after="0"/>
      </w:pPr>
      <w:r>
        <w:rPr>
          <w:noProof/>
          <w:sz w:val="18"/>
          <w:szCs w:val="18"/>
          <w:lang w:val="nl-NL" w:eastAsia="nl-NL"/>
        </w:rPr>
        <w:drawing>
          <wp:anchor distT="0" distB="0" distL="114300" distR="114300" simplePos="0" relativeHeight="251659264" behindDoc="0" locked="0" layoutInCell="1" allowOverlap="1" wp14:anchorId="1A59DF98" wp14:editId="04E390BB">
            <wp:simplePos x="0" y="0"/>
            <wp:positionH relativeFrom="column">
              <wp:posOffset>2339975</wp:posOffset>
            </wp:positionH>
            <wp:positionV relativeFrom="paragraph">
              <wp:posOffset>625475</wp:posOffset>
            </wp:positionV>
            <wp:extent cx="1890395" cy="884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 UP.png"/>
                    <pic:cNvPicPr/>
                  </pic:nvPicPr>
                  <pic:blipFill>
                    <a:blip r:embed="rId6">
                      <a:extLst>
                        <a:ext uri="{28A0092B-C50C-407E-A947-70E740481C1C}">
                          <a14:useLocalDpi xmlns:a14="http://schemas.microsoft.com/office/drawing/2010/main" val="0"/>
                        </a:ext>
                      </a:extLst>
                    </a:blip>
                    <a:stretch>
                      <a:fillRect/>
                    </a:stretch>
                  </pic:blipFill>
                  <pic:spPr>
                    <a:xfrm>
                      <a:off x="0" y="0"/>
                      <a:ext cx="1890395" cy="884555"/>
                    </a:xfrm>
                    <a:prstGeom prst="rect">
                      <a:avLst/>
                    </a:prstGeom>
                  </pic:spPr>
                </pic:pic>
              </a:graphicData>
            </a:graphic>
            <wp14:sizeRelH relativeFrom="page">
              <wp14:pctWidth>0</wp14:pctWidth>
            </wp14:sizeRelH>
            <wp14:sizeRelV relativeFrom="page">
              <wp14:pctHeight>0</wp14:pctHeight>
            </wp14:sizeRelV>
          </wp:anchor>
        </w:drawing>
      </w:r>
      <w:r w:rsidR="00CE65DF" w:rsidRPr="00CE65DF">
        <w:t>Aalto University</w:t>
      </w:r>
      <w:r w:rsidR="00AC007E">
        <w:t>/</w:t>
      </w:r>
      <w:r w:rsidR="00CE65DF" w:rsidRPr="00CE65DF">
        <w:t xml:space="preserve"> </w:t>
      </w:r>
      <w:r w:rsidR="006B2492" w:rsidRPr="006B2492">
        <w:t>Department of Forest Products Technology</w:t>
      </w:r>
      <w:r w:rsidR="006B2492">
        <w:t xml:space="preserve">, </w:t>
      </w:r>
      <w:r w:rsidR="006B2492" w:rsidRPr="006B2492">
        <w:t>Forest Pr</w:t>
      </w:r>
      <w:r w:rsidR="00AC007E">
        <w:t>oducts Surface Chemistry</w:t>
      </w:r>
      <w:r w:rsidR="00CE65DF">
        <w:t xml:space="preserve"> (FI)</w:t>
      </w:r>
    </w:p>
    <w:p w:rsidR="008663AE" w:rsidRDefault="00AC007E" w:rsidP="008663AE">
      <w:pPr>
        <w:spacing w:after="0"/>
      </w:pPr>
      <w:r>
        <w:t xml:space="preserve">KTH - </w:t>
      </w:r>
      <w:r w:rsidR="006B2492" w:rsidRPr="006B2492">
        <w:t>Royal</w:t>
      </w:r>
      <w:r>
        <w:t xml:space="preserve"> Institute of Technology/ </w:t>
      </w:r>
      <w:r w:rsidR="00CE65DF" w:rsidRPr="00CE65DF">
        <w:t>Department of F</w:t>
      </w:r>
      <w:r w:rsidR="00CE65DF">
        <w:t>ibre and Polymer Technology</w:t>
      </w:r>
      <w:r w:rsidR="006B2492">
        <w:t xml:space="preserve"> (SE)</w:t>
      </w:r>
    </w:p>
    <w:p w:rsidR="006B2492" w:rsidRDefault="006B2492"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0012A5" w:rsidRDefault="000012A5" w:rsidP="00FD0A1C">
      <w:pPr>
        <w:spacing w:after="0"/>
      </w:pPr>
    </w:p>
    <w:p w:rsidR="000012A5" w:rsidRDefault="000012A5" w:rsidP="00FD0A1C">
      <w:pPr>
        <w:spacing w:after="0"/>
      </w:pPr>
    </w:p>
    <w:p w:rsidR="00AC007E" w:rsidRDefault="00E33F56" w:rsidP="00E33F56">
      <w:pPr>
        <w:spacing w:after="0"/>
        <w:rPr>
          <w:sz w:val="18"/>
          <w:szCs w:val="18"/>
        </w:rPr>
      </w:pPr>
      <w:r w:rsidRPr="00E33F56">
        <w:rPr>
          <w:sz w:val="18"/>
          <w:szCs w:val="18"/>
        </w:rPr>
        <w:t xml:space="preserve">There are strong societal needs towards sustainable materials, sustainable and energy efficient processes, as well as materials that allow saving of energy, still combining advanced mechanical and other functional properties. An example would be offered by low density, mechanically excellent renewable materials which save fuel energy in mobile technologies and transportation, e.g. in mobile telecommunication, mobile computers, automobiles, and aerospace as they allow lightweight construction. </w:t>
      </w:r>
    </w:p>
    <w:p w:rsidR="00AC007E" w:rsidRDefault="00AC007E" w:rsidP="00E33F56">
      <w:pPr>
        <w:spacing w:after="0"/>
        <w:rPr>
          <w:sz w:val="18"/>
          <w:szCs w:val="18"/>
        </w:rPr>
      </w:pPr>
    </w:p>
    <w:p w:rsidR="00E33F56" w:rsidRPr="00E33F56" w:rsidRDefault="00E33F56" w:rsidP="00E33F56">
      <w:pPr>
        <w:spacing w:after="0"/>
        <w:rPr>
          <w:sz w:val="18"/>
          <w:szCs w:val="18"/>
        </w:rPr>
      </w:pPr>
      <w:r w:rsidRPr="00E33F56">
        <w:rPr>
          <w:sz w:val="18"/>
          <w:szCs w:val="18"/>
        </w:rPr>
        <w:t xml:space="preserve">The overall aim in </w:t>
      </w:r>
      <w:proofErr w:type="spellStart"/>
      <w:r w:rsidRPr="00E33F56">
        <w:rPr>
          <w:sz w:val="18"/>
          <w:szCs w:val="18"/>
        </w:rPr>
        <w:t>CellAssembly</w:t>
      </w:r>
      <w:proofErr w:type="spellEnd"/>
      <w:r w:rsidRPr="00E33F56">
        <w:rPr>
          <w:sz w:val="18"/>
          <w:szCs w:val="18"/>
        </w:rPr>
        <w:t xml:space="preserve"> was to develop concepts, scientific understanding of toughening mechanisms, and realizations towards lightweight sustainable biomimetic </w:t>
      </w:r>
      <w:proofErr w:type="spellStart"/>
      <w:r w:rsidRPr="00E33F56">
        <w:rPr>
          <w:sz w:val="18"/>
          <w:szCs w:val="18"/>
        </w:rPr>
        <w:t>nanocomposites</w:t>
      </w:r>
      <w:proofErr w:type="spellEnd"/>
      <w:r w:rsidRPr="00E33F56">
        <w:rPr>
          <w:sz w:val="18"/>
          <w:szCs w:val="18"/>
        </w:rPr>
        <w:t xml:space="preserve"> with extraordinary combination of stiffness, strength, and toughness, as relevant for applications, as well as selected new functions. The challenge was to maintain the stiffness and strength, while increasing the strain-to-failure. This clearly requires synergic mechanical properties and calls for new concepts towards biomimetic materials principles. The idea was to design and form core-shell </w:t>
      </w:r>
      <w:proofErr w:type="spellStart"/>
      <w:r w:rsidRPr="00E33F56">
        <w:rPr>
          <w:sz w:val="18"/>
          <w:szCs w:val="18"/>
        </w:rPr>
        <w:t>nanofibrils</w:t>
      </w:r>
      <w:proofErr w:type="spellEnd"/>
      <w:r w:rsidRPr="00E33F56">
        <w:rPr>
          <w:sz w:val="18"/>
          <w:szCs w:val="18"/>
        </w:rPr>
        <w:t>/</w:t>
      </w:r>
      <w:proofErr w:type="spellStart"/>
      <w:r w:rsidRPr="00E33F56">
        <w:rPr>
          <w:sz w:val="18"/>
          <w:szCs w:val="18"/>
        </w:rPr>
        <w:t>nanowhiskers</w:t>
      </w:r>
      <w:proofErr w:type="spellEnd"/>
      <w:r w:rsidRPr="00E33F56">
        <w:rPr>
          <w:sz w:val="18"/>
          <w:szCs w:val="18"/>
        </w:rPr>
        <w:t>/</w:t>
      </w:r>
      <w:proofErr w:type="spellStart"/>
      <w:r w:rsidRPr="00E33F56">
        <w:rPr>
          <w:sz w:val="18"/>
          <w:szCs w:val="18"/>
        </w:rPr>
        <w:t>nanoclays</w:t>
      </w:r>
      <w:proofErr w:type="spellEnd"/>
      <w:r w:rsidRPr="00E33F56">
        <w:rPr>
          <w:sz w:val="18"/>
          <w:szCs w:val="18"/>
        </w:rPr>
        <w:t xml:space="preserve">, and subsequently process them into bulk composites via self-assemblies, spun into self-assembled </w:t>
      </w:r>
      <w:proofErr w:type="spellStart"/>
      <w:r w:rsidRPr="00E33F56">
        <w:rPr>
          <w:sz w:val="18"/>
          <w:szCs w:val="18"/>
        </w:rPr>
        <w:t>fibers</w:t>
      </w:r>
      <w:proofErr w:type="spellEnd"/>
      <w:r w:rsidRPr="00E33F56">
        <w:rPr>
          <w:sz w:val="18"/>
          <w:szCs w:val="18"/>
        </w:rPr>
        <w:t xml:space="preserve"> or expanded into robust composite foams.</w:t>
      </w:r>
    </w:p>
    <w:p w:rsidR="00E33F56" w:rsidRPr="00E33F56" w:rsidRDefault="00E33F56" w:rsidP="00E33F56">
      <w:pPr>
        <w:spacing w:after="0"/>
        <w:rPr>
          <w:sz w:val="18"/>
          <w:szCs w:val="18"/>
        </w:rPr>
      </w:pPr>
    </w:p>
    <w:p w:rsidR="00E33F56" w:rsidRPr="00E33F56" w:rsidRDefault="00E33F56" w:rsidP="00E33F56">
      <w:pPr>
        <w:spacing w:after="0"/>
        <w:rPr>
          <w:sz w:val="18"/>
          <w:szCs w:val="18"/>
        </w:rPr>
      </w:pPr>
      <w:proofErr w:type="spellStart"/>
      <w:r w:rsidRPr="00E33F56">
        <w:rPr>
          <w:sz w:val="18"/>
          <w:szCs w:val="18"/>
        </w:rPr>
        <w:t>CellAssembly</w:t>
      </w:r>
      <w:proofErr w:type="spellEnd"/>
      <w:r w:rsidRPr="00E33F56">
        <w:rPr>
          <w:sz w:val="18"/>
          <w:szCs w:val="18"/>
        </w:rPr>
        <w:t xml:space="preserve"> project developed next generation self-assembled biomimetic composites with first evidence of synergistic improvement of both strength and strain, and achieved fundamentally new understanding on two mechanisms in biomimetic composites: </w:t>
      </w:r>
    </w:p>
    <w:p w:rsidR="00E33F56" w:rsidRPr="00E33F56" w:rsidRDefault="00E33F56" w:rsidP="00E33F56">
      <w:pPr>
        <w:spacing w:after="0"/>
        <w:rPr>
          <w:sz w:val="18"/>
          <w:szCs w:val="18"/>
        </w:rPr>
      </w:pPr>
    </w:p>
    <w:p w:rsidR="00E33F56" w:rsidRPr="00FD2F70" w:rsidRDefault="00E33F56" w:rsidP="00FD2F70">
      <w:pPr>
        <w:pStyle w:val="Lijstalinea"/>
        <w:numPr>
          <w:ilvl w:val="0"/>
          <w:numId w:val="2"/>
        </w:numPr>
        <w:spacing w:after="0"/>
        <w:rPr>
          <w:sz w:val="18"/>
          <w:szCs w:val="18"/>
        </w:rPr>
      </w:pPr>
      <w:r w:rsidRPr="00FD2F70">
        <w:rPr>
          <w:sz w:val="18"/>
          <w:szCs w:val="18"/>
        </w:rPr>
        <w:t xml:space="preserve">The effect hydration of the self-assemble </w:t>
      </w:r>
      <w:proofErr w:type="spellStart"/>
      <w:r w:rsidRPr="00FD2F70">
        <w:rPr>
          <w:sz w:val="18"/>
          <w:szCs w:val="18"/>
        </w:rPr>
        <w:t>nanolayers</w:t>
      </w:r>
      <w:proofErr w:type="spellEnd"/>
      <w:r w:rsidRPr="00FD2F70">
        <w:rPr>
          <w:sz w:val="18"/>
          <w:szCs w:val="18"/>
        </w:rPr>
        <w:t xml:space="preserve"> causes a ductile-brittle transition</w:t>
      </w:r>
    </w:p>
    <w:p w:rsidR="00F10CB4" w:rsidRPr="00F10CB4" w:rsidRDefault="00FD2F70" w:rsidP="00F10CB4">
      <w:pPr>
        <w:pStyle w:val="Lijstalinea"/>
        <w:spacing w:after="0"/>
        <w:rPr>
          <w:sz w:val="18"/>
          <w:szCs w:val="18"/>
        </w:rPr>
      </w:pPr>
      <w:r>
        <w:rPr>
          <w:noProof/>
          <w:sz w:val="18"/>
          <w:szCs w:val="18"/>
          <w:lang w:val="nl-NL" w:eastAsia="nl-NL"/>
        </w:rPr>
        <w:drawing>
          <wp:anchor distT="0" distB="0" distL="114300" distR="114300" simplePos="0" relativeHeight="251658240" behindDoc="0" locked="0" layoutInCell="1" allowOverlap="1" wp14:anchorId="3E9BDFCF" wp14:editId="7CE5E39C">
            <wp:simplePos x="0" y="0"/>
            <wp:positionH relativeFrom="column">
              <wp:posOffset>41910</wp:posOffset>
            </wp:positionH>
            <wp:positionV relativeFrom="paragraph">
              <wp:posOffset>116840</wp:posOffset>
            </wp:positionV>
            <wp:extent cx="2185035" cy="1043305"/>
            <wp:effectExtent l="0" t="0" r="571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ile and scheme.png"/>
                    <pic:cNvPicPr/>
                  </pic:nvPicPr>
                  <pic:blipFill>
                    <a:blip r:embed="rId7">
                      <a:extLst>
                        <a:ext uri="{28A0092B-C50C-407E-A947-70E740481C1C}">
                          <a14:useLocalDpi xmlns:a14="http://schemas.microsoft.com/office/drawing/2010/main" val="0"/>
                        </a:ext>
                      </a:extLst>
                    </a:blip>
                    <a:stretch>
                      <a:fillRect/>
                    </a:stretch>
                  </pic:blipFill>
                  <pic:spPr>
                    <a:xfrm>
                      <a:off x="0" y="0"/>
                      <a:ext cx="2185035" cy="1043305"/>
                    </a:xfrm>
                    <a:prstGeom prst="rect">
                      <a:avLst/>
                    </a:prstGeom>
                  </pic:spPr>
                </pic:pic>
              </a:graphicData>
            </a:graphic>
            <wp14:sizeRelH relativeFrom="page">
              <wp14:pctWidth>0</wp14:pctWidth>
            </wp14:sizeRelH>
            <wp14:sizeRelV relativeFrom="page">
              <wp14:pctHeight>0</wp14:pctHeight>
            </wp14:sizeRelV>
          </wp:anchor>
        </w:drawing>
      </w:r>
    </w:p>
    <w:p w:rsidR="00E33F56" w:rsidRPr="00E33F56" w:rsidRDefault="00E33F56" w:rsidP="00E33F56">
      <w:pPr>
        <w:spacing w:after="0"/>
        <w:rPr>
          <w:sz w:val="18"/>
          <w:szCs w:val="18"/>
        </w:rPr>
      </w:pPr>
    </w:p>
    <w:p w:rsidR="00E33F56" w:rsidRPr="00085317" w:rsidRDefault="00E33F56" w:rsidP="00E33F56">
      <w:pPr>
        <w:spacing w:after="0"/>
        <w:rPr>
          <w:i/>
          <w:sz w:val="18"/>
          <w:szCs w:val="18"/>
        </w:rPr>
      </w:pPr>
      <w:r w:rsidRPr="00085317">
        <w:rPr>
          <w:i/>
          <w:sz w:val="18"/>
          <w:szCs w:val="18"/>
        </w:rPr>
        <w:t>Brittle-to-ductile transition in a self-assembled nacre-inspired poly(vinyl alcohol)/</w:t>
      </w:r>
      <w:proofErr w:type="spellStart"/>
      <w:r w:rsidRPr="00085317">
        <w:rPr>
          <w:i/>
          <w:sz w:val="18"/>
          <w:szCs w:val="18"/>
        </w:rPr>
        <w:t>nanoclay</w:t>
      </w:r>
      <w:proofErr w:type="spellEnd"/>
      <w:r w:rsidRPr="00085317">
        <w:rPr>
          <w:i/>
          <w:sz w:val="18"/>
          <w:szCs w:val="18"/>
        </w:rPr>
        <w:t xml:space="preserve"> composite based on a hydration-induced glass-to-rubber transition in the 2D-nanoconfined poly(vinyl alcohol) layers. </w:t>
      </w:r>
    </w:p>
    <w:p w:rsidR="00FD2F70" w:rsidRDefault="00FD2F70" w:rsidP="00E33F56">
      <w:pPr>
        <w:spacing w:after="0"/>
        <w:rPr>
          <w:sz w:val="18"/>
          <w:szCs w:val="18"/>
        </w:rPr>
      </w:pPr>
    </w:p>
    <w:p w:rsidR="002F3BB8" w:rsidRDefault="002F3BB8" w:rsidP="00E33F56">
      <w:pPr>
        <w:spacing w:after="0"/>
        <w:rPr>
          <w:sz w:val="18"/>
          <w:szCs w:val="18"/>
        </w:rPr>
      </w:pPr>
    </w:p>
    <w:p w:rsidR="00085317" w:rsidRDefault="00085317" w:rsidP="00085317">
      <w:pPr>
        <w:pStyle w:val="Lijstalinea"/>
        <w:spacing w:after="0"/>
        <w:rPr>
          <w:sz w:val="18"/>
          <w:szCs w:val="18"/>
        </w:rPr>
      </w:pPr>
    </w:p>
    <w:p w:rsidR="00085317" w:rsidRDefault="00085317" w:rsidP="00085317">
      <w:pPr>
        <w:pStyle w:val="Lijstalinea"/>
        <w:spacing w:after="0"/>
        <w:rPr>
          <w:sz w:val="18"/>
          <w:szCs w:val="18"/>
        </w:rPr>
      </w:pPr>
    </w:p>
    <w:p w:rsidR="00085317" w:rsidRDefault="00085317" w:rsidP="00085317">
      <w:pPr>
        <w:pStyle w:val="Lijstalinea"/>
        <w:spacing w:after="0"/>
        <w:rPr>
          <w:sz w:val="18"/>
          <w:szCs w:val="18"/>
        </w:rPr>
      </w:pPr>
    </w:p>
    <w:p w:rsidR="00085317" w:rsidRDefault="00085317" w:rsidP="00085317">
      <w:pPr>
        <w:pStyle w:val="Lijstalinea"/>
        <w:spacing w:after="0"/>
        <w:rPr>
          <w:sz w:val="18"/>
          <w:szCs w:val="18"/>
        </w:rPr>
      </w:pPr>
    </w:p>
    <w:p w:rsidR="00E33F56" w:rsidRPr="002F3BB8" w:rsidRDefault="00E33F56" w:rsidP="002F3BB8">
      <w:pPr>
        <w:pStyle w:val="Lijstalinea"/>
        <w:numPr>
          <w:ilvl w:val="0"/>
          <w:numId w:val="2"/>
        </w:numPr>
        <w:spacing w:after="0"/>
        <w:rPr>
          <w:sz w:val="18"/>
          <w:szCs w:val="18"/>
        </w:rPr>
      </w:pPr>
      <w:r w:rsidRPr="002F3BB8">
        <w:rPr>
          <w:sz w:val="18"/>
          <w:szCs w:val="18"/>
        </w:rPr>
        <w:t xml:space="preserve">Supramolecular binding of the </w:t>
      </w:r>
      <w:proofErr w:type="spellStart"/>
      <w:r w:rsidRPr="002F3BB8">
        <w:rPr>
          <w:sz w:val="18"/>
          <w:szCs w:val="18"/>
        </w:rPr>
        <w:t>nanosheets</w:t>
      </w:r>
      <w:proofErr w:type="spellEnd"/>
      <w:r w:rsidRPr="002F3BB8">
        <w:rPr>
          <w:sz w:val="18"/>
          <w:szCs w:val="18"/>
        </w:rPr>
        <w:t xml:space="preserve"> in nacre-mimetic composites allows sacrificial bonds </w:t>
      </w:r>
    </w:p>
    <w:p w:rsidR="00E33F56" w:rsidRPr="00E33F56" w:rsidRDefault="00E33F56" w:rsidP="00E33F56">
      <w:pPr>
        <w:spacing w:after="0"/>
        <w:rPr>
          <w:sz w:val="18"/>
          <w:szCs w:val="18"/>
        </w:rPr>
      </w:pPr>
    </w:p>
    <w:p w:rsidR="00FD2F70" w:rsidRDefault="00FD2F70" w:rsidP="00E33F56">
      <w:pPr>
        <w:spacing w:after="0"/>
        <w:rPr>
          <w:sz w:val="18"/>
          <w:szCs w:val="18"/>
        </w:rPr>
      </w:pPr>
      <w:r>
        <w:rPr>
          <w:noProof/>
          <w:sz w:val="18"/>
          <w:szCs w:val="18"/>
          <w:lang w:val="nl-NL" w:eastAsia="nl-NL"/>
        </w:rPr>
        <w:drawing>
          <wp:inline distT="0" distB="0" distL="0" distR="0">
            <wp:extent cx="1890395" cy="1041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 UP2.png"/>
                    <pic:cNvPicPr/>
                  </pic:nvPicPr>
                  <pic:blipFill>
                    <a:blip r:embed="rId8">
                      <a:extLst>
                        <a:ext uri="{28A0092B-C50C-407E-A947-70E740481C1C}">
                          <a14:useLocalDpi xmlns:a14="http://schemas.microsoft.com/office/drawing/2010/main" val="0"/>
                        </a:ext>
                      </a:extLst>
                    </a:blip>
                    <a:stretch>
                      <a:fillRect/>
                    </a:stretch>
                  </pic:blipFill>
                  <pic:spPr>
                    <a:xfrm>
                      <a:off x="0" y="0"/>
                      <a:ext cx="1890395" cy="1041400"/>
                    </a:xfrm>
                    <a:prstGeom prst="rect">
                      <a:avLst/>
                    </a:prstGeom>
                  </pic:spPr>
                </pic:pic>
              </a:graphicData>
            </a:graphic>
          </wp:inline>
        </w:drawing>
      </w:r>
      <w:r>
        <w:rPr>
          <w:noProof/>
          <w:sz w:val="18"/>
          <w:szCs w:val="18"/>
          <w:lang w:val="nl-NL" w:eastAsia="nl-NL"/>
        </w:rPr>
        <w:drawing>
          <wp:inline distT="0" distB="0" distL="0" distR="0">
            <wp:extent cx="1890395" cy="1144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 UP3.png"/>
                    <pic:cNvPicPr/>
                  </pic:nvPicPr>
                  <pic:blipFill>
                    <a:blip r:embed="rId9">
                      <a:extLst>
                        <a:ext uri="{28A0092B-C50C-407E-A947-70E740481C1C}">
                          <a14:useLocalDpi xmlns:a14="http://schemas.microsoft.com/office/drawing/2010/main" val="0"/>
                        </a:ext>
                      </a:extLst>
                    </a:blip>
                    <a:stretch>
                      <a:fillRect/>
                    </a:stretch>
                  </pic:blipFill>
                  <pic:spPr>
                    <a:xfrm>
                      <a:off x="0" y="0"/>
                      <a:ext cx="1890395" cy="1144270"/>
                    </a:xfrm>
                    <a:prstGeom prst="rect">
                      <a:avLst/>
                    </a:prstGeom>
                  </pic:spPr>
                </pic:pic>
              </a:graphicData>
            </a:graphic>
          </wp:inline>
        </w:drawing>
      </w:r>
    </w:p>
    <w:p w:rsidR="00E33F56" w:rsidRPr="00E33F56" w:rsidRDefault="00E33F56" w:rsidP="00E33F56">
      <w:pPr>
        <w:spacing w:after="0"/>
        <w:rPr>
          <w:sz w:val="18"/>
          <w:szCs w:val="18"/>
        </w:rPr>
      </w:pPr>
    </w:p>
    <w:p w:rsidR="000012A5" w:rsidRPr="00E33F56" w:rsidRDefault="00E33F56" w:rsidP="00E33F56">
      <w:pPr>
        <w:spacing w:after="0"/>
        <w:rPr>
          <w:sz w:val="18"/>
          <w:szCs w:val="18"/>
        </w:rPr>
      </w:pPr>
      <w:proofErr w:type="spellStart"/>
      <w:r w:rsidRPr="00E33F56">
        <w:rPr>
          <w:sz w:val="18"/>
          <w:szCs w:val="18"/>
        </w:rPr>
        <w:t>CellAssembly</w:t>
      </w:r>
      <w:proofErr w:type="spellEnd"/>
      <w:r w:rsidRPr="00E33F56">
        <w:rPr>
          <w:sz w:val="18"/>
          <w:szCs w:val="18"/>
        </w:rPr>
        <w:t xml:space="preserve"> project produced also methods for formation of core-shell </w:t>
      </w:r>
      <w:proofErr w:type="spellStart"/>
      <w:r w:rsidRPr="00E33F56">
        <w:rPr>
          <w:sz w:val="18"/>
          <w:szCs w:val="18"/>
        </w:rPr>
        <w:t>nanofibrils</w:t>
      </w:r>
      <w:proofErr w:type="spellEnd"/>
      <w:r w:rsidRPr="00E33F56">
        <w:rPr>
          <w:sz w:val="18"/>
          <w:szCs w:val="18"/>
        </w:rPr>
        <w:t xml:space="preserve"> through pH modulated adsorption and their subsequent packing, as well as methods for alignment of </w:t>
      </w:r>
      <w:proofErr w:type="spellStart"/>
      <w:r w:rsidRPr="00E33F56">
        <w:rPr>
          <w:sz w:val="18"/>
          <w:szCs w:val="18"/>
        </w:rPr>
        <w:t>nanocellulose</w:t>
      </w:r>
      <w:proofErr w:type="spellEnd"/>
      <w:r w:rsidRPr="00E33F56">
        <w:rPr>
          <w:sz w:val="18"/>
          <w:szCs w:val="18"/>
        </w:rPr>
        <w:t xml:space="preserve"> </w:t>
      </w:r>
      <w:proofErr w:type="spellStart"/>
      <w:r w:rsidRPr="00E33F56">
        <w:rPr>
          <w:sz w:val="18"/>
          <w:szCs w:val="18"/>
        </w:rPr>
        <w:t>nanocomposites</w:t>
      </w:r>
      <w:proofErr w:type="spellEnd"/>
      <w:r w:rsidRPr="00E33F56">
        <w:rPr>
          <w:sz w:val="18"/>
          <w:szCs w:val="18"/>
        </w:rPr>
        <w:t xml:space="preserve"> and </w:t>
      </w:r>
      <w:proofErr w:type="spellStart"/>
      <w:r w:rsidRPr="00E33F56">
        <w:rPr>
          <w:sz w:val="18"/>
          <w:szCs w:val="18"/>
        </w:rPr>
        <w:t>fibers</w:t>
      </w:r>
      <w:proofErr w:type="spellEnd"/>
      <w:r w:rsidRPr="00E33F56">
        <w:rPr>
          <w:sz w:val="18"/>
          <w:szCs w:val="18"/>
        </w:rPr>
        <w:t xml:space="preserve"> inside solvent baths.</w:t>
      </w:r>
      <w:r w:rsidR="00545D42">
        <w:rPr>
          <w:sz w:val="18"/>
          <w:szCs w:val="18"/>
        </w:rPr>
        <w:t xml:space="preserve"> </w:t>
      </w:r>
      <w:r w:rsidR="00545D42" w:rsidRPr="00545D42">
        <w:rPr>
          <w:sz w:val="18"/>
          <w:szCs w:val="18"/>
        </w:rPr>
        <w:t xml:space="preserve">During the project </w:t>
      </w:r>
      <w:r w:rsidR="00085317">
        <w:rPr>
          <w:sz w:val="18"/>
          <w:szCs w:val="18"/>
        </w:rPr>
        <w:t>there was collaboration with companies such as</w:t>
      </w:r>
      <w:r w:rsidR="00545D42">
        <w:rPr>
          <w:sz w:val="18"/>
          <w:szCs w:val="18"/>
        </w:rPr>
        <w:t xml:space="preserve"> </w:t>
      </w:r>
      <w:r w:rsidR="003E2F2A">
        <w:rPr>
          <w:sz w:val="18"/>
          <w:szCs w:val="18"/>
        </w:rPr>
        <w:t>UPM and</w:t>
      </w:r>
      <w:r w:rsidR="00545D42" w:rsidRPr="00545D42">
        <w:rPr>
          <w:sz w:val="18"/>
          <w:szCs w:val="18"/>
        </w:rPr>
        <w:t xml:space="preserve"> Tetra Pak </w:t>
      </w:r>
      <w:r w:rsidR="00085317">
        <w:rPr>
          <w:sz w:val="18"/>
          <w:szCs w:val="18"/>
        </w:rPr>
        <w:t xml:space="preserve">but also </w:t>
      </w:r>
      <w:r w:rsidR="00545D42" w:rsidRPr="00545D42">
        <w:rPr>
          <w:sz w:val="18"/>
          <w:szCs w:val="18"/>
        </w:rPr>
        <w:t xml:space="preserve"> with </w:t>
      </w:r>
      <w:r w:rsidR="00085317">
        <w:rPr>
          <w:sz w:val="18"/>
          <w:szCs w:val="18"/>
        </w:rPr>
        <w:t xml:space="preserve">some </w:t>
      </w:r>
      <w:r w:rsidR="00545D42" w:rsidRPr="00545D42">
        <w:rPr>
          <w:sz w:val="18"/>
          <w:szCs w:val="18"/>
        </w:rPr>
        <w:t>new start-up companies</w:t>
      </w:r>
      <w:r w:rsidR="00545D42">
        <w:rPr>
          <w:sz w:val="18"/>
          <w:szCs w:val="18"/>
        </w:rPr>
        <w:t xml:space="preserve"> (</w:t>
      </w:r>
      <w:proofErr w:type="spellStart"/>
      <w:r w:rsidR="00545D42">
        <w:rPr>
          <w:sz w:val="18"/>
          <w:szCs w:val="18"/>
        </w:rPr>
        <w:t>Betulium</w:t>
      </w:r>
      <w:proofErr w:type="spellEnd"/>
      <w:r w:rsidR="00545D42">
        <w:rPr>
          <w:sz w:val="18"/>
          <w:szCs w:val="18"/>
        </w:rPr>
        <w:t xml:space="preserve"> and </w:t>
      </w:r>
      <w:proofErr w:type="spellStart"/>
      <w:r w:rsidR="00545D42">
        <w:rPr>
          <w:sz w:val="18"/>
          <w:szCs w:val="18"/>
        </w:rPr>
        <w:t>Xylocel</w:t>
      </w:r>
      <w:proofErr w:type="spellEnd"/>
      <w:r w:rsidR="00545D42">
        <w:rPr>
          <w:sz w:val="18"/>
          <w:szCs w:val="18"/>
        </w:rPr>
        <w:t>)</w:t>
      </w:r>
      <w:r w:rsidR="00545D42" w:rsidRPr="00545D42">
        <w:rPr>
          <w:sz w:val="18"/>
          <w:szCs w:val="18"/>
        </w:rPr>
        <w:t xml:space="preserve">. </w:t>
      </w:r>
    </w:p>
    <w:sectPr w:rsidR="000012A5" w:rsidRPr="00E33F56" w:rsidSect="00E33F56">
      <w:pgSz w:w="16838" w:h="11906" w:orient="landscape"/>
      <w:pgMar w:top="567" w:right="536" w:bottom="568" w:left="567" w:header="708" w:footer="708" w:gutter="0"/>
      <w:cols w:num="2" w:space="709" w:equalWidth="0">
        <w:col w:w="2977" w:space="709"/>
        <w:col w:w="1204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10BF"/>
    <w:multiLevelType w:val="hybridMultilevel"/>
    <w:tmpl w:val="52D89BE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5F2F5C82"/>
    <w:multiLevelType w:val="hybridMultilevel"/>
    <w:tmpl w:val="9872E6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AE"/>
    <w:rsid w:val="000012A5"/>
    <w:rsid w:val="00085317"/>
    <w:rsid w:val="00133CAC"/>
    <w:rsid w:val="00247369"/>
    <w:rsid w:val="002F3BB8"/>
    <w:rsid w:val="003E2F2A"/>
    <w:rsid w:val="0040657B"/>
    <w:rsid w:val="00444BE9"/>
    <w:rsid w:val="00545D42"/>
    <w:rsid w:val="006165D7"/>
    <w:rsid w:val="006B2492"/>
    <w:rsid w:val="006F3321"/>
    <w:rsid w:val="007D3CBE"/>
    <w:rsid w:val="008663AE"/>
    <w:rsid w:val="00AC007E"/>
    <w:rsid w:val="00BA5481"/>
    <w:rsid w:val="00BF59DE"/>
    <w:rsid w:val="00CE65DF"/>
    <w:rsid w:val="00DA10DA"/>
    <w:rsid w:val="00E33F56"/>
    <w:rsid w:val="00EF00DD"/>
    <w:rsid w:val="00F10CB4"/>
    <w:rsid w:val="00FC00D8"/>
    <w:rsid w:val="00FD0A1C"/>
    <w:rsid w:val="00FD2F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63A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63AE"/>
    <w:rPr>
      <w:rFonts w:ascii="Tahoma" w:hAnsi="Tahoma" w:cs="Tahoma"/>
      <w:sz w:val="16"/>
      <w:szCs w:val="16"/>
      <w:lang w:val="en-GB"/>
    </w:rPr>
  </w:style>
  <w:style w:type="paragraph" w:styleId="Lijstalinea">
    <w:name w:val="List Paragraph"/>
    <w:basedOn w:val="Standaard"/>
    <w:uiPriority w:val="34"/>
    <w:qFormat/>
    <w:rsid w:val="00F10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63A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63AE"/>
    <w:rPr>
      <w:rFonts w:ascii="Tahoma" w:hAnsi="Tahoma" w:cs="Tahoma"/>
      <w:sz w:val="16"/>
      <w:szCs w:val="16"/>
      <w:lang w:val="en-GB"/>
    </w:rPr>
  </w:style>
  <w:style w:type="paragraph" w:styleId="Lijstalinea">
    <w:name w:val="List Paragraph"/>
    <w:basedOn w:val="Standaard"/>
    <w:uiPriority w:val="34"/>
    <w:qFormat/>
    <w:rsid w:val="00F10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446</Words>
  <Characters>2457</Characters>
  <Application>Microsoft Office Word</Application>
  <DocSecurity>0</DocSecurity>
  <Lines>20</Lines>
  <Paragraphs>5</Paragraphs>
  <ScaleCrop>false</ScaleCrop>
  <HeadingPairs>
    <vt:vector size="6" baseType="variant">
      <vt:variant>
        <vt:lpstr>Titel</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BECS</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Kallio</dc:creator>
  <cp:lastModifiedBy>Brijder, ir. M. (Matté)</cp:lastModifiedBy>
  <cp:revision>3</cp:revision>
  <dcterms:created xsi:type="dcterms:W3CDTF">2015-05-28T07:38:00Z</dcterms:created>
  <dcterms:modified xsi:type="dcterms:W3CDTF">2015-05-28T07:44:00Z</dcterms:modified>
</cp:coreProperties>
</file>